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1F" w:rsidRPr="00895EDA" w:rsidRDefault="00895EDA" w:rsidP="00895EDA">
      <w:pPr>
        <w:spacing w:line="480" w:lineRule="auto"/>
        <w:jc w:val="center"/>
        <w:rPr>
          <w:rFonts w:ascii="Times New Roman" w:hAnsi="Times New Roman" w:cs="Times New Roman"/>
          <w:sz w:val="24"/>
          <w:szCs w:val="24"/>
        </w:rPr>
      </w:pPr>
      <w:bookmarkStart w:id="0" w:name="_GoBack"/>
      <w:bookmarkEnd w:id="0"/>
      <w:r w:rsidRPr="00895EDA">
        <w:rPr>
          <w:rFonts w:ascii="Times New Roman" w:hAnsi="Times New Roman" w:cs="Times New Roman"/>
          <w:sz w:val="24"/>
          <w:szCs w:val="24"/>
        </w:rPr>
        <w:t>Health care models</w:t>
      </w:r>
    </w:p>
    <w:p w:rsidR="002307C5" w:rsidRPr="00895EDA" w:rsidRDefault="00895EDA" w:rsidP="00895EDA">
      <w:pPr>
        <w:spacing w:line="480" w:lineRule="auto"/>
        <w:jc w:val="center"/>
        <w:rPr>
          <w:rFonts w:ascii="Times New Roman" w:hAnsi="Times New Roman" w:cs="Times New Roman"/>
          <w:sz w:val="24"/>
          <w:szCs w:val="24"/>
        </w:rPr>
      </w:pPr>
      <w:r w:rsidRPr="00895EDA">
        <w:rPr>
          <w:rFonts w:ascii="Times New Roman" w:hAnsi="Times New Roman" w:cs="Times New Roman"/>
          <w:sz w:val="24"/>
          <w:szCs w:val="24"/>
        </w:rPr>
        <w:t>Student’s ID</w:t>
      </w:r>
    </w:p>
    <w:p w:rsidR="002307C5" w:rsidRPr="00895EDA" w:rsidRDefault="00895EDA" w:rsidP="00895EDA">
      <w:pPr>
        <w:spacing w:line="480" w:lineRule="auto"/>
        <w:jc w:val="center"/>
        <w:rPr>
          <w:rFonts w:ascii="Times New Roman" w:hAnsi="Times New Roman" w:cs="Times New Roman"/>
          <w:sz w:val="24"/>
          <w:szCs w:val="24"/>
        </w:rPr>
      </w:pPr>
      <w:r w:rsidRPr="00895EDA">
        <w:rPr>
          <w:rFonts w:ascii="Times New Roman" w:hAnsi="Times New Roman" w:cs="Times New Roman"/>
          <w:sz w:val="24"/>
          <w:szCs w:val="24"/>
        </w:rPr>
        <w:t>School of Affiliation</w:t>
      </w:r>
    </w:p>
    <w:p w:rsidR="002307C5" w:rsidRPr="00895EDA" w:rsidRDefault="00895EDA" w:rsidP="00895EDA">
      <w:pPr>
        <w:spacing w:line="480" w:lineRule="auto"/>
        <w:jc w:val="center"/>
        <w:rPr>
          <w:rFonts w:ascii="Times New Roman" w:hAnsi="Times New Roman" w:cs="Times New Roman"/>
          <w:sz w:val="24"/>
          <w:szCs w:val="24"/>
        </w:rPr>
      </w:pPr>
      <w:r w:rsidRPr="00895EDA">
        <w:rPr>
          <w:rFonts w:ascii="Times New Roman" w:hAnsi="Times New Roman" w:cs="Times New Roman"/>
          <w:sz w:val="24"/>
          <w:szCs w:val="24"/>
        </w:rPr>
        <w:t>Date</w:t>
      </w:r>
    </w:p>
    <w:p w:rsidR="002307C5" w:rsidRPr="00895EDA" w:rsidRDefault="00895EDA" w:rsidP="00895EDA">
      <w:pPr>
        <w:spacing w:line="480" w:lineRule="auto"/>
        <w:rPr>
          <w:rFonts w:ascii="Times New Roman" w:hAnsi="Times New Roman" w:cs="Times New Roman"/>
          <w:sz w:val="24"/>
          <w:szCs w:val="24"/>
        </w:rPr>
      </w:pPr>
      <w:r w:rsidRPr="00895EDA">
        <w:rPr>
          <w:rFonts w:ascii="Times New Roman" w:hAnsi="Times New Roman" w:cs="Times New Roman"/>
          <w:sz w:val="24"/>
          <w:szCs w:val="24"/>
        </w:rPr>
        <w:br w:type="page"/>
      </w:r>
    </w:p>
    <w:p w:rsidR="002307C5" w:rsidRPr="00895EDA" w:rsidRDefault="00895EDA" w:rsidP="00895EDA">
      <w:pPr>
        <w:spacing w:line="480" w:lineRule="auto"/>
        <w:ind w:firstLine="720"/>
        <w:rPr>
          <w:rFonts w:ascii="Times New Roman" w:hAnsi="Times New Roman" w:cs="Times New Roman"/>
          <w:sz w:val="24"/>
          <w:szCs w:val="24"/>
        </w:rPr>
      </w:pPr>
      <w:r w:rsidRPr="00895EDA">
        <w:rPr>
          <w:rFonts w:ascii="Times New Roman" w:hAnsi="Times New Roman" w:cs="Times New Roman"/>
          <w:sz w:val="24"/>
          <w:szCs w:val="24"/>
        </w:rPr>
        <w:lastRenderedPageBreak/>
        <w:t>In any sector of the economy, change is inevitable</w:t>
      </w:r>
      <w:r w:rsidR="002463E9" w:rsidRPr="00895EDA">
        <w:rPr>
          <w:rFonts w:ascii="Times New Roman" w:hAnsi="Times New Roman" w:cs="Times New Roman"/>
          <w:sz w:val="24"/>
          <w:szCs w:val="24"/>
        </w:rPr>
        <w:t xml:space="preserve"> (Cahill, 2020)</w:t>
      </w:r>
      <w:r w:rsidRPr="00895EDA">
        <w:rPr>
          <w:rFonts w:ascii="Times New Roman" w:hAnsi="Times New Roman" w:cs="Times New Roman"/>
          <w:sz w:val="24"/>
          <w:szCs w:val="24"/>
        </w:rPr>
        <w:t>. The new models of operations are challenging the old models due to the introduction of the technology. Checking in both models of the fee-for-service and the managed health care systems, some people hold different opinions concerning both.  The most sign</w:t>
      </w:r>
      <w:r w:rsidRPr="00895EDA">
        <w:rPr>
          <w:rFonts w:ascii="Times New Roman" w:hAnsi="Times New Roman" w:cs="Times New Roman"/>
          <w:sz w:val="24"/>
          <w:szCs w:val="24"/>
        </w:rPr>
        <w:t>ificant advantage of the fee-for-service model is that the patient has the largest network of doctors or hospitals to</w:t>
      </w:r>
      <w:r>
        <w:rPr>
          <w:rFonts w:ascii="Times New Roman" w:hAnsi="Times New Roman" w:cs="Times New Roman"/>
          <w:sz w:val="24"/>
          <w:szCs w:val="24"/>
        </w:rPr>
        <w:t xml:space="preserve"> choose from. The system offers</w:t>
      </w:r>
      <w:r w:rsidRPr="00895EDA">
        <w:rPr>
          <w:rFonts w:ascii="Times New Roman" w:hAnsi="Times New Roman" w:cs="Times New Roman"/>
          <w:sz w:val="24"/>
          <w:szCs w:val="24"/>
        </w:rPr>
        <w:t xml:space="preserve"> no limitation in selecting one's service providers as well as the number of the </w:t>
      </w:r>
      <w:r w:rsidR="002463E9" w:rsidRPr="00895EDA">
        <w:rPr>
          <w:rFonts w:ascii="Times New Roman" w:hAnsi="Times New Roman" w:cs="Times New Roman"/>
          <w:sz w:val="24"/>
          <w:szCs w:val="24"/>
        </w:rPr>
        <w:t>patients’</w:t>
      </w:r>
      <w:r w:rsidRPr="00895EDA">
        <w:rPr>
          <w:rFonts w:ascii="Times New Roman" w:hAnsi="Times New Roman" w:cs="Times New Roman"/>
          <w:sz w:val="24"/>
          <w:szCs w:val="24"/>
        </w:rPr>
        <w:t xml:space="preserve"> visits. The bigg</w:t>
      </w:r>
      <w:r w:rsidRPr="00895EDA">
        <w:rPr>
          <w:rFonts w:ascii="Times New Roman" w:hAnsi="Times New Roman" w:cs="Times New Roman"/>
          <w:sz w:val="24"/>
          <w:szCs w:val="24"/>
        </w:rPr>
        <w:t>est disadvantage in this model is that there is no incentive offered for efficient care and the patients tend to pay the unregulated fee, which seems a l</w:t>
      </w:r>
      <w:r w:rsidR="000C7B27" w:rsidRPr="00895EDA">
        <w:rPr>
          <w:rFonts w:ascii="Times New Roman" w:hAnsi="Times New Roman" w:cs="Times New Roman"/>
          <w:sz w:val="24"/>
          <w:szCs w:val="24"/>
        </w:rPr>
        <w:t>ot</w:t>
      </w:r>
      <w:r w:rsidR="002463E9" w:rsidRPr="00895EDA">
        <w:rPr>
          <w:rFonts w:ascii="Times New Roman" w:hAnsi="Times New Roman" w:cs="Times New Roman"/>
          <w:sz w:val="24"/>
          <w:szCs w:val="24"/>
        </w:rPr>
        <w:t xml:space="preserve"> (Guo et al., 2019)</w:t>
      </w:r>
      <w:r w:rsidR="000C7B27" w:rsidRPr="00895EDA">
        <w:rPr>
          <w:rFonts w:ascii="Times New Roman" w:hAnsi="Times New Roman" w:cs="Times New Roman"/>
          <w:sz w:val="24"/>
          <w:szCs w:val="24"/>
        </w:rPr>
        <w:t>. On the other hand, the biggest advantage of the managed system is that it tries to regulate and lower the health care costs for those who have access as well as ensure the delivery of exemplary care to the patients. The disadvantaging element of this model is that it limits access for those not covered by the provider, and it limits the choice of one from choosing the hospital they would want to receive the services from. The cover dictates where the services are to be offered</w:t>
      </w:r>
      <w:r w:rsidR="002463E9" w:rsidRPr="00895EDA">
        <w:rPr>
          <w:rFonts w:ascii="Times New Roman" w:hAnsi="Times New Roman" w:cs="Times New Roman"/>
          <w:sz w:val="24"/>
          <w:szCs w:val="24"/>
        </w:rPr>
        <w:t xml:space="preserve"> (Guo et al., 2019)</w:t>
      </w:r>
      <w:r w:rsidR="000C7B27" w:rsidRPr="00895EDA">
        <w:rPr>
          <w:rFonts w:ascii="Times New Roman" w:hAnsi="Times New Roman" w:cs="Times New Roman"/>
          <w:sz w:val="24"/>
          <w:szCs w:val="24"/>
        </w:rPr>
        <w:t>.</w:t>
      </w:r>
    </w:p>
    <w:p w:rsidR="002307C5" w:rsidRPr="00895EDA" w:rsidRDefault="00895EDA" w:rsidP="00895EDA">
      <w:pPr>
        <w:spacing w:line="480" w:lineRule="auto"/>
        <w:ind w:firstLine="720"/>
        <w:rPr>
          <w:rFonts w:ascii="Times New Roman" w:hAnsi="Times New Roman" w:cs="Times New Roman"/>
          <w:sz w:val="24"/>
          <w:szCs w:val="24"/>
        </w:rPr>
      </w:pPr>
      <w:r w:rsidRPr="00895EDA">
        <w:rPr>
          <w:rFonts w:ascii="Times New Roman" w:hAnsi="Times New Roman" w:cs="Times New Roman"/>
          <w:sz w:val="24"/>
          <w:szCs w:val="24"/>
        </w:rPr>
        <w:t>For me, I would continually advocate for the managed health care system. This is because i</w:t>
      </w:r>
      <w:r w:rsidRPr="00895EDA">
        <w:rPr>
          <w:rFonts w:ascii="Times New Roman" w:hAnsi="Times New Roman" w:cs="Times New Roman"/>
          <w:sz w:val="24"/>
          <w:szCs w:val="24"/>
        </w:rPr>
        <w:t>t regulates the most vital factor that touches every citizen, the cost of treatment. This model enables many individ</w:t>
      </w:r>
      <w:r w:rsidR="002463E9" w:rsidRPr="00895EDA">
        <w:rPr>
          <w:rFonts w:ascii="Times New Roman" w:hAnsi="Times New Roman" w:cs="Times New Roman"/>
          <w:sz w:val="24"/>
          <w:szCs w:val="24"/>
        </w:rPr>
        <w:t>uals to access the best health services as everyone else since the cover stands in place to cater to the bill. The payment system is regulated and set at a reasonable level where the majority can afford it. I have seen many receive the benefits of this method, where they end up coughing little amounts of money, unlike when the system is not managed.</w:t>
      </w:r>
    </w:p>
    <w:p w:rsidR="002463E9" w:rsidRPr="00895EDA" w:rsidRDefault="002463E9" w:rsidP="00895EDA">
      <w:pPr>
        <w:spacing w:line="480" w:lineRule="auto"/>
        <w:rPr>
          <w:rFonts w:ascii="Times New Roman" w:hAnsi="Times New Roman" w:cs="Times New Roman"/>
          <w:sz w:val="24"/>
          <w:szCs w:val="24"/>
        </w:rPr>
      </w:pPr>
    </w:p>
    <w:p w:rsidR="002463E9" w:rsidRPr="00895EDA" w:rsidRDefault="002463E9" w:rsidP="00895EDA">
      <w:pPr>
        <w:spacing w:line="480" w:lineRule="auto"/>
        <w:rPr>
          <w:rFonts w:ascii="Times New Roman" w:hAnsi="Times New Roman" w:cs="Times New Roman"/>
          <w:sz w:val="24"/>
          <w:szCs w:val="24"/>
        </w:rPr>
      </w:pPr>
    </w:p>
    <w:p w:rsidR="002463E9" w:rsidRPr="00895EDA" w:rsidRDefault="002463E9" w:rsidP="00895EDA">
      <w:pPr>
        <w:spacing w:line="480" w:lineRule="auto"/>
        <w:rPr>
          <w:rFonts w:ascii="Times New Roman" w:hAnsi="Times New Roman" w:cs="Times New Roman"/>
          <w:sz w:val="24"/>
          <w:szCs w:val="24"/>
        </w:rPr>
      </w:pPr>
    </w:p>
    <w:p w:rsidR="00895EDA" w:rsidRDefault="00895EDA" w:rsidP="00895EDA">
      <w:pPr>
        <w:spacing w:line="480" w:lineRule="auto"/>
        <w:jc w:val="center"/>
        <w:rPr>
          <w:rFonts w:ascii="Times New Roman" w:hAnsi="Times New Roman" w:cs="Times New Roman"/>
          <w:sz w:val="24"/>
          <w:szCs w:val="24"/>
        </w:rPr>
      </w:pPr>
    </w:p>
    <w:p w:rsidR="002463E9" w:rsidRPr="00895EDA" w:rsidRDefault="00895EDA" w:rsidP="00895EDA">
      <w:pPr>
        <w:spacing w:line="480" w:lineRule="auto"/>
        <w:jc w:val="center"/>
        <w:rPr>
          <w:rFonts w:ascii="Times New Roman" w:hAnsi="Times New Roman" w:cs="Times New Roman"/>
          <w:sz w:val="24"/>
          <w:szCs w:val="24"/>
        </w:rPr>
      </w:pPr>
      <w:r w:rsidRPr="00895EDA">
        <w:rPr>
          <w:rFonts w:ascii="Times New Roman" w:hAnsi="Times New Roman" w:cs="Times New Roman"/>
          <w:sz w:val="24"/>
          <w:szCs w:val="24"/>
        </w:rPr>
        <w:t>References</w:t>
      </w:r>
    </w:p>
    <w:p w:rsidR="002463E9" w:rsidRPr="00895EDA" w:rsidRDefault="00895EDA" w:rsidP="00895EDA">
      <w:pPr>
        <w:spacing w:line="480" w:lineRule="auto"/>
        <w:ind w:left="720" w:hanging="720"/>
        <w:rPr>
          <w:rFonts w:ascii="Times New Roman" w:hAnsi="Times New Roman" w:cs="Times New Roman"/>
          <w:sz w:val="24"/>
          <w:szCs w:val="24"/>
        </w:rPr>
      </w:pPr>
      <w:r w:rsidRPr="00895EDA">
        <w:rPr>
          <w:rFonts w:ascii="Times New Roman" w:hAnsi="Times New Roman" w:cs="Times New Roman"/>
          <w:sz w:val="24"/>
          <w:szCs w:val="24"/>
          <w:shd w:val="clear" w:color="auto" w:fill="FFFFFF"/>
        </w:rPr>
        <w:t>Cahill, Naomi. "Change is inev</w:t>
      </w:r>
      <w:r w:rsidRPr="00895EDA">
        <w:rPr>
          <w:rFonts w:ascii="Times New Roman" w:hAnsi="Times New Roman" w:cs="Times New Roman"/>
          <w:sz w:val="24"/>
          <w:szCs w:val="24"/>
          <w:shd w:val="clear" w:color="auto" w:fill="FFFFFF"/>
        </w:rPr>
        <w:t>itable…." </w:t>
      </w:r>
      <w:r w:rsidRPr="00895EDA">
        <w:rPr>
          <w:rFonts w:ascii="Times New Roman" w:hAnsi="Times New Roman" w:cs="Times New Roman"/>
          <w:i/>
          <w:iCs/>
          <w:sz w:val="24"/>
          <w:szCs w:val="24"/>
          <w:shd w:val="clear" w:color="auto" w:fill="FFFFFF"/>
        </w:rPr>
        <w:t>Canadian Journal of Dietetic Practice and Research</w:t>
      </w:r>
      <w:r w:rsidRPr="00895EDA">
        <w:rPr>
          <w:rFonts w:ascii="Times New Roman" w:hAnsi="Times New Roman" w:cs="Times New Roman"/>
          <w:sz w:val="24"/>
          <w:szCs w:val="24"/>
          <w:shd w:val="clear" w:color="auto" w:fill="FFFFFF"/>
        </w:rPr>
        <w:t> 81.4 (2020): 169-169.</w:t>
      </w:r>
    </w:p>
    <w:p w:rsidR="002463E9" w:rsidRPr="00895EDA" w:rsidRDefault="00895EDA" w:rsidP="00895EDA">
      <w:pPr>
        <w:spacing w:line="480" w:lineRule="auto"/>
        <w:ind w:left="720" w:hanging="720"/>
        <w:rPr>
          <w:rFonts w:ascii="Times New Roman" w:hAnsi="Times New Roman" w:cs="Times New Roman"/>
          <w:sz w:val="24"/>
          <w:szCs w:val="24"/>
        </w:rPr>
      </w:pPr>
      <w:r w:rsidRPr="00895EDA">
        <w:rPr>
          <w:rFonts w:ascii="Times New Roman" w:hAnsi="Times New Roman" w:cs="Times New Roman"/>
          <w:sz w:val="24"/>
          <w:szCs w:val="24"/>
          <w:shd w:val="clear" w:color="auto" w:fill="FFFFFF"/>
        </w:rPr>
        <w:t>Guo, P., Tang, C. S., Wang, Y., &amp; Zhao, M. (2019). The impact of reimbursement policy on social welfare, revisit rate and waiting time in a public healthcare system: Fee-for</w:t>
      </w:r>
      <w:r w:rsidRPr="00895EDA">
        <w:rPr>
          <w:rFonts w:ascii="Times New Roman" w:hAnsi="Times New Roman" w:cs="Times New Roman"/>
          <w:sz w:val="24"/>
          <w:szCs w:val="24"/>
          <w:shd w:val="clear" w:color="auto" w:fill="FFFFFF"/>
        </w:rPr>
        <w:t xml:space="preserve">-service versus bundled payment. </w:t>
      </w:r>
      <w:r w:rsidRPr="00895EDA">
        <w:rPr>
          <w:rFonts w:ascii="Times New Roman" w:hAnsi="Times New Roman" w:cs="Times New Roman"/>
          <w:i/>
          <w:iCs/>
          <w:sz w:val="24"/>
          <w:szCs w:val="24"/>
          <w:shd w:val="clear" w:color="auto" w:fill="FFFFFF"/>
        </w:rPr>
        <w:t>Manufacturing &amp; Service Operations Management</w:t>
      </w:r>
      <w:r w:rsidRPr="00895EDA">
        <w:rPr>
          <w:rFonts w:ascii="Times New Roman" w:hAnsi="Times New Roman" w:cs="Times New Roman"/>
          <w:sz w:val="24"/>
          <w:szCs w:val="24"/>
          <w:shd w:val="clear" w:color="auto" w:fill="FFFFFF"/>
        </w:rPr>
        <w:t>, </w:t>
      </w:r>
      <w:r w:rsidRPr="00895EDA">
        <w:rPr>
          <w:rFonts w:ascii="Times New Roman" w:hAnsi="Times New Roman" w:cs="Times New Roman"/>
          <w:i/>
          <w:iCs/>
          <w:sz w:val="24"/>
          <w:szCs w:val="24"/>
          <w:shd w:val="clear" w:color="auto" w:fill="FFFFFF"/>
        </w:rPr>
        <w:t>21</w:t>
      </w:r>
      <w:r w:rsidRPr="00895EDA">
        <w:rPr>
          <w:rFonts w:ascii="Times New Roman" w:hAnsi="Times New Roman" w:cs="Times New Roman"/>
          <w:sz w:val="24"/>
          <w:szCs w:val="24"/>
          <w:shd w:val="clear" w:color="auto" w:fill="FFFFFF"/>
        </w:rPr>
        <w:t>(1), 154-170.</w:t>
      </w:r>
    </w:p>
    <w:sectPr w:rsidR="002463E9" w:rsidRPr="00895E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C5"/>
    <w:rsid w:val="000C7B27"/>
    <w:rsid w:val="002307C5"/>
    <w:rsid w:val="002463E9"/>
    <w:rsid w:val="0034325A"/>
    <w:rsid w:val="00895EDA"/>
    <w:rsid w:val="00A11CAF"/>
    <w:rsid w:val="00CB7A31"/>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0AE8"/>
  <w15:chartTrackingRefBased/>
  <w15:docId w15:val="{C37F6042-B592-4145-AE77-DCE460C5C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3</cp:revision>
  <dcterms:created xsi:type="dcterms:W3CDTF">2021-09-12T18:16:00Z</dcterms:created>
  <dcterms:modified xsi:type="dcterms:W3CDTF">2021-09-12T19:21:00Z</dcterms:modified>
</cp:coreProperties>
</file>